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center"/>
        <w:rPr/>
      </w:pPr>
      <w:r>
        <w:rPr>
          <w:b/>
          <w:sz w:val="22"/>
          <w:szCs w:val="22"/>
          <w:lang w:val="sr-RS"/>
        </w:rPr>
        <w:t xml:space="preserve">Техничке карактеристике (спецификација) и предмер и предрачун за набавку радова </w:t>
      </w:r>
      <w:r>
        <w:rPr>
          <w:rFonts w:cs="Arial"/>
          <w:b/>
          <w:bCs/>
          <w:sz w:val="22"/>
          <w:szCs w:val="22"/>
          <w:lang w:val="sr-RS"/>
        </w:rPr>
        <w:t>одржавања саобраћајница и путева на територији града Зајечара</w:t>
      </w:r>
    </w:p>
    <w:p>
      <w:pPr>
        <w:pStyle w:val="Default"/>
        <w:jc w:val="center"/>
        <w:rPr/>
      </w:pPr>
      <w:r>
        <w:rPr>
          <w:b/>
          <w:sz w:val="22"/>
          <w:szCs w:val="22"/>
          <w:lang w:val="sr-RS"/>
        </w:rPr>
        <w:t>ЈН бр. 404-463</w:t>
      </w:r>
    </w:p>
    <w:p>
      <w:pPr>
        <w:pStyle w:val="Default"/>
        <w:jc w:val="both"/>
        <w:rPr>
          <w:b/>
          <w:b/>
          <w:sz w:val="22"/>
          <w:szCs w:val="22"/>
          <w:lang w:val="sr-RS"/>
        </w:rPr>
      </w:pPr>
      <w:r>
        <w:rPr>
          <w:b/>
          <w:sz w:val="22"/>
          <w:szCs w:val="22"/>
          <w:lang w:val="sr-RS"/>
        </w:rPr>
      </w:r>
    </w:p>
    <w:p>
      <w:pPr>
        <w:pStyle w:val="Normal"/>
        <w:jc w:val="both"/>
        <w:rPr/>
      </w:pPr>
      <w:r>
        <w:rPr>
          <w:rFonts w:cs="Arial"/>
          <w:sz w:val="22"/>
          <w:szCs w:val="22"/>
          <w:lang w:val="sr-RS"/>
        </w:rPr>
        <w:t xml:space="preserve">Предмет радова је </w:t>
      </w:r>
      <w:r>
        <w:rPr>
          <w:rFonts w:cs="Arial"/>
          <w:b w:val="false"/>
          <w:bCs w:val="false"/>
          <w:sz w:val="22"/>
          <w:szCs w:val="22"/>
          <w:lang w:val="sr-RS"/>
        </w:rPr>
        <w:t>одржавања саобраћајница и путева на територији града Зајечара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Spacing"/>
        <w:jc w:val="both"/>
        <w:rPr/>
      </w:pPr>
      <w:r>
        <w:rPr>
          <w:rFonts w:cs="Arial" w:ascii="Arial" w:hAnsi="Arial"/>
        </w:rPr>
        <w:t>Сви ставови описа радова подразумевају извођење сваке позиције рада безусловно стручно, прецизно и квалитетно, у свему према техничком опису, важећим техничким прописима, опште техничким условима за извођење грађевинских и грађевинско занатских радова, стандарда и упутства Надзорног органа, уколико у датој позицији није другачије условљено. Сви радови морају бити изведени према важећим нормативима и правилима струке.</w:t>
      </w:r>
    </w:p>
    <w:p>
      <w:pPr>
        <w:pStyle w:val="NoSpacing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cs="Arial"/>
          <w:sz w:val="22"/>
          <w:szCs w:val="22"/>
          <w:lang w:val="sr-RS"/>
        </w:rPr>
        <w:t>Рок извршења радова је 240 календарских дана од дана увођења Извођача радова у посао.</w:t>
      </w:r>
    </w:p>
    <w:p>
      <w:pPr>
        <w:pStyle w:val="Normal"/>
        <w:jc w:val="both"/>
        <w:rPr/>
      </w:pPr>
      <w:r>
        <w:rPr>
          <w:rFonts w:eastAsia="TimesNewRomanPSMT;Times New Roman" w:cs="Arial"/>
          <w:b w:val="false"/>
          <w:bCs/>
          <w:iCs/>
          <w:sz w:val="22"/>
          <w:szCs w:val="22"/>
          <w:lang w:val="en-US"/>
        </w:rPr>
        <w:t xml:space="preserve">Место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CS"/>
        </w:rPr>
        <w:t xml:space="preserve">извођења радова: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 xml:space="preserve">Цела територија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RS"/>
        </w:rPr>
        <w:t>г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>рада Зајечара укључујући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RS"/>
        </w:rPr>
        <w:t xml:space="preserve"> и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>сва села.</w:t>
      </w:r>
    </w:p>
    <w:p>
      <w:pPr>
        <w:pStyle w:val="Normal"/>
        <w:jc w:val="both"/>
        <w:rPr>
          <w:rFonts w:ascii="Arial" w:hAnsi="Arial" w:eastAsia="TimesNewRomanPSMT;Times New Roman" w:cs="Arial"/>
          <w:b w:val="false"/>
          <w:b w:val="false"/>
          <w:bCs/>
          <w:iCs/>
          <w:sz w:val="22"/>
          <w:szCs w:val="22"/>
          <w:lang w:val="ru-RU"/>
        </w:rPr>
      </w:pP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cs="Arial"/>
          <w:sz w:val="22"/>
          <w:szCs w:val="22"/>
          <w:lang w:val="sr-RS"/>
        </w:rPr>
        <w:t xml:space="preserve">Рок и начин плаћања: </w:t>
      </w:r>
      <w:r>
        <w:rPr>
          <w:rFonts w:cs="Arial"/>
          <w:iCs/>
          <w:sz w:val="22"/>
          <w:szCs w:val="22"/>
          <w:lang w:val="sr-RS"/>
        </w:rPr>
        <w:t>Плаћање ће се вршити исплатом кроз 10 привремених ситуација.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>
          <w:rFonts w:ascii="Arial" w:hAnsi="Arial" w:cs="Arial"/>
          <w:iCs/>
          <w:sz w:val="22"/>
          <w:szCs w:val="22"/>
          <w:lang w:val="sr-RS"/>
        </w:rPr>
      </w:pPr>
      <w:r>
        <w:rPr>
          <w:rFonts w:cs="Arial"/>
          <w:iCs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eastAsia="Arial" w:cs="Arial"/>
          <w:b/>
          <w:bCs/>
          <w:iCs/>
          <w:color w:val="auto"/>
          <w:spacing w:val="0"/>
          <w:sz w:val="22"/>
          <w:szCs w:val="22"/>
          <w:shd w:fill="auto" w:val="clear"/>
          <w:lang w:val="sr-RS"/>
        </w:rPr>
        <w:t>НАПОМЕНА</w:t>
      </w:r>
      <w:r>
        <w:rPr>
          <w:rFonts w:eastAsia="Arial" w:cs="Arial"/>
          <w:iCs/>
          <w:color w:val="auto"/>
          <w:spacing w:val="0"/>
          <w:sz w:val="22"/>
          <w:szCs w:val="22"/>
          <w:shd w:fill="auto" w:val="clear"/>
          <w:lang w:val="sr-RS"/>
        </w:rPr>
        <w:t>:Понуђачу није дозвољено да захтева аванс.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both"/>
        <w:rPr/>
      </w:pPr>
      <w:r>
        <w:rPr>
          <w:rFonts w:cs="Arial"/>
          <w:b/>
          <w:bCs/>
          <w:sz w:val="22"/>
          <w:szCs w:val="22"/>
          <w:lang w:val="sr-RS"/>
        </w:rPr>
        <w:t>Предмер и предрачун радова:</w:t>
      </w:r>
    </w:p>
    <w:p>
      <w:pPr>
        <w:pStyle w:val="Normal"/>
        <w:jc w:val="both"/>
        <w:rPr>
          <w:rFonts w:cs="Arial"/>
          <w:lang w:val="sr-RS"/>
        </w:rPr>
      </w:pPr>
      <w:r>
        <w:rPr>
          <w:rFonts w:cs="Arial"/>
          <w:lang w:val="sr-RS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</w:r>
    </w:p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3747"/>
        <w:gridCol w:w="0"/>
        <w:gridCol w:w="1390"/>
        <w:gridCol w:w="1"/>
        <w:gridCol w:w="1670"/>
        <w:gridCol w:w="1"/>
        <w:gridCol w:w="2320"/>
      </w:tblGrid>
      <w:tr>
        <w:trPr>
          <w:trHeight w:val="690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Јединица</w:t>
              <w:br/>
              <w:t>мере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Јединична цена</w:t>
              <w:br/>
              <w:t>без ПДВ-а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Јединична цена</w:t>
              <w:br/>
              <w:t>са ПДВ-ом</w:t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</w:rPr>
              <w:t>I РАДОВИ НА ОДРЖАВАЊУ ТРУПА ПУТА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са банкина самоходном моторном косачицом.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на слободним површинама косачицом прикљученом на трактор.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05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ручно на површинама око смероказа, колобрана, одбојних ограда и на чистом простору где приступ машине није могућ.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Утовар траве у камион и превоз на депонију на 5км.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ручно са слагањем на страну.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машински са слагањем на страну.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машински са утоваром и превозом на 1км.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8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Кресање грана дрвећа које сметају саобраћају и другим објектима са слагањем на страну, пречника до 10цм. Обрачун по комаду.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9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чишћење наноса и осулина са коловоза са ручним утоваром и одвозом материјала на депонију. Цена обухвата и транспорт материјала до 10км. Обрачун по м³.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10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Ископ земље машински 90% и ручно 10% за проширење коловоза са утоваром и транспортом до 10км. Цена обухвата: ангажовање потребне механизације и радне снаге. Обрачун по м³.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1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асфалтног застора дебљине 5цм грејдером, са машинским утоваром и транспортом материјала на депонију до 10км.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2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подлоге коловоза дебљине д=25цм грејдером, са машинским утоваром и транспортом материјала на депонију до 10км. Обрачун по м².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3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Исецање ивица асфалтног коловоза д=6цм машином за сечење асфалта. Обрачун по м¹.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885" w:hRule="atLeast"/>
        </w:trPr>
        <w:tc>
          <w:tcPr>
            <w:tcW w:w="4256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en-US"/>
              </w:rPr>
            </w:r>
          </w:p>
        </w:tc>
      </w:tr>
    </w:tbl>
    <w:p>
      <w:pPr>
        <w:pStyle w:val="NoSpacing"/>
        <w:rPr/>
      </w:pPr>
      <w:r>
        <w:br w:type="page"/>
      </w:r>
      <w:r>
        <w:rPr>
          <w:rFonts w:cs="Arial" w:ascii="Arial" w:hAnsi="Arial"/>
        </w:rPr>
        <w:t>II РАДОВИ НА ОДРЖАВАЊУ СИСТЕМА ЗА ОДВОДЊАВАЊЕ ПОВРШИНЕ КОЛОВОЗА И ТРУПА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"/>
        <w:gridCol w:w="4006"/>
        <w:gridCol w:w="1389"/>
        <w:gridCol w:w="1672"/>
        <w:gridCol w:w="2324"/>
      </w:tblGrid>
      <w:tr>
        <w:trPr>
          <w:trHeight w:val="1665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Машински ископ одводних јаркова и корекција. Цена обухвата: ископ земље ровокопачем 80% са ручним дотеривањем 20%, пребацивање земље на банкину или утовар у возило и превоз на депонију.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са одбацивањем земље на банкину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са превозом земље до 5км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чишћење наноса из цевастих и плочастих пропуста. Цена обухвата: одстрањивање свих наноса и отпадака из пропуста са утоваром у колица и одвозом до 20м.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55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нових цевастих пропуста од армирано бетонских цеви на подлози од мршавог бетона дебљине д=15цм са улазно-излазном главом. Цена обухвата: набавку, транспорт и постављање цеви, израду подлоге и израду облоге улазне и излазне главе пропуста. У цену урачунати и облагање цеви каменим дробљеним агрегатом са набијањем до потребне збијености.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Ø400мм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Ø600мм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Ø800мм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Ø1000мм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65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монтажних бетонских ригола димензија 40/40/12цм на подлози од бетона МБ 20. Цена обухвата: справљање, превоз и ручно уграђивање бетона у подлогу и набавку, транспорт и полагање монтажних ригола.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ивичњака ручно са одвозом шута.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12/18цм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20/24цм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18/24цм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24/24цм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95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монтажних сивих ивичњака на подлогу од бетона МБ 20 дебљине 10цм са фуговањем цементним малтером 1:2. Цена обухвата: справљање, превоз и ручно уграђивање бетона у подлогу и набавку, транспорт и полагање ивичњака са фуговањем.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12/18цм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20/24цм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18/24цм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8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Облагање одводних јаркова монтажним бетонским каналетама на слоју песка д=10цм са фуговањем цементним малтером 1:2. Цена обухвата: набавку и транспорт каналета, набавку песка и цементног малтера 1:2 са транспортом као и полагање каналета на подлогу од песка са фуговањем.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630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справљање, транспорт и уградња бетона, са израдом одговарајуће оплате, ради санације и изградње армирано бетонских крила, прагова и осталих конструктивних делова мостова и пропуста ради санације и изградње обложних и потпорних зидова, армирано бетонских шахти и канала за пријем атмосферских вода, а све у циљу заштите коловоза и трупа пута од обрушавања, клизања и расквашивања. Сав потребан материјал, опрему и радну снагу за справљање и уградњу бетона обезбеђује извођач.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МБ 20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МБ 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855" w:hRule="atLeast"/>
        </w:trPr>
        <w:tc>
          <w:tcPr>
            <w:tcW w:w="425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sz w:val="21"/>
                <w:szCs w:val="21"/>
              </w:rPr>
            </w:pPr>
            <w:r>
              <w:rPr>
                <w:rFonts w:eastAsia="Times New Roman" w:cs="Arial"/>
                <w:b/>
                <w:bCs/>
                <w:sz w:val="21"/>
                <w:szCs w:val="21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III РАДОВИ НА ОДРЖАВАЊУ АСФАЛТНИХ КОЛОВОЗА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9669" w:type="dxa"/>
        <w:jc w:val="left"/>
        <w:tblInd w:w="-37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3974"/>
        <w:gridCol w:w="1"/>
        <w:gridCol w:w="1408"/>
        <w:gridCol w:w="1"/>
        <w:gridCol w:w="1664"/>
        <w:gridCol w:w="1"/>
        <w:gridCol w:w="1575"/>
        <w:gridCol w:w="254"/>
        <w:gridCol w:w="240"/>
        <w:gridCol w:w="266"/>
      </w:tblGrid>
      <w:tr>
        <w:trPr>
          <w:trHeight w:val="363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заливање праволинијских и тестерастих пукотина на коловозу ширине од 3мм до 15мм и дубине преко 5цм врућом битуменском масом уз претходно попуњавање дробљеним кречњачким агрегатом 0-4мм. Цена обухвата: набавку битуменске масе, дробљеног агрегата, песка за посипање и плина за загревање битуменске масе, превоз материјала, компресора и радника, издувавање пукотина компримованим ваздухом, попуњавање дробљеним агрегатом, заливање битуменском масом, посипање сувим песком и регулисање саобраћаја. Обрачун по м¹.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96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Машинско заливање праволинијских и тестерастих пукотина на коловозу ширине преко 15мм и дубине преко 5цм врућом битуменском масом уз претходно попуњавање дробљеним кречњачким агрегатом 0-4мм. Цена обухвата: набавку битуменске масе, дробљеног агрегата, песка за посипање и плина за загревање битуменске масе, превоз материјала, компресора и радника, машине за фуговање, издувавање пукотина компримованим ваздухом, попуњавање дробљеним агрегатом, заливање пукотина машином за фуговање, посипање сувим песком и регулисање саобраћаја. Обрачун по м¹.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61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крпљење ударних рупа и колотрага асфалтном масом АБ-11 просечне дебљине 6цм. Скидање испуцалог асфалта као припрему за крпљење ударних рупа и скидање издигнутог гребена колотрага извести глодалицом за асфалт. Рупе очистити метлом и издувати компресором. Пре уграђивања асфалтне масе извршити прскање емулзијом и премазивање опсечених ивица битуменском емулзијом у количини од 0,2-0,5кг/м². Ударну рупу попунити асфалтном масом, дати потребно надвишење и ваљати до потребне збијености тако да површина окрпљеног дела буде у равни постојеће коловозне површине. Цена обухвата: производњу асфалтне масе са набавком материјала, транспорт асфалтне масе, механизације и радника од асфалтне базе до места уграђивања, транспорт скинутог материјала и уграђивање асфалтне масе.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975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Ручна уградња асфалтних слојева на тротоарима и површинама асфалтном масом AБ-11.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Уграђену асфалтну масу ваљати до потребне збијености. Цена обухвата: производњу асфалтне масе са набавком материјала, транспорт асфалтне масе, механизације и радника од асфалтне базе до места уграђивања и уграђивање асфалтне масе.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295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Пресвлачење деоница коловоза асфалтном масом АБ-11 просечне дебљине 5цм.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625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изравнавајућег соја коловоза асфалтном масом АБ-11 просечне дебљине 3-5цм.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295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Пресвлачење деоница коловоза асфалтном масом БНС-22   дебљине 6-10цм.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Чишћење савремених коловоза од блата и нечистоће. Цена обухвата: рад радника на чишћењу блата, просечне дебљине 2цм, са утоваром у колица и одвозом на 20м. Обрачун по м².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95" w:hRule="atLeast"/>
        </w:trPr>
        <w:tc>
          <w:tcPr>
            <w:tcW w:w="4259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/>
                <w:b/>
                <w:bCs/>
                <w:sz w:val="21"/>
                <w:szCs w:val="21"/>
                <w:lang w:val="sr-RS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  <w:tc>
          <w:tcPr>
            <w:tcW w:w="2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IV РАДОВИ НА ОДРЖАВАЊУ ТУЦАНИЧКИХ КОЛОВОЗА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495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"/>
        <w:gridCol w:w="3960"/>
        <w:gridCol w:w="1376"/>
        <w:gridCol w:w="1653"/>
        <w:gridCol w:w="2299"/>
      </w:tblGrid>
      <w:tr>
        <w:trPr>
          <w:trHeight w:val="1650" w:hRule="atLeast"/>
        </w:trPr>
        <w:tc>
          <w:tcPr>
            <w:tcW w:w="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Обнова туцаничког застора. Цена обухвата: набавку и транспорт дробљеног каменог агрегата 0-31мм, риљање старог застора, разастирање и планирање дробљеног каменог агрегата грејдером и сабијање ваљком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300" w:hRule="atLeast"/>
        </w:trPr>
        <w:tc>
          <w:tcPr>
            <w:tcW w:w="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i w:val="false"/>
                <w:i w:val="false"/>
                <w:iCs w:val="false"/>
              </w:rPr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1650" w:hRule="atLeast"/>
        </w:trPr>
        <w:tc>
          <w:tcPr>
            <w:tcW w:w="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2</w:t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Израда туцаничког застора уграђивањем дробљеног каменог агрегата 0-31мм. Цена обухвата: набавку и транспорт материјала, машинско разастирање, планирање и ваљање материјала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300" w:hRule="atLeast"/>
        </w:trPr>
        <w:tc>
          <w:tcPr>
            <w:tcW w:w="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i w:val="false"/>
                <w:i w:val="false"/>
                <w:iCs w:val="false"/>
              </w:rPr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1980" w:hRule="atLeast"/>
        </w:trPr>
        <w:tc>
          <w:tcPr>
            <w:tcW w:w="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Ручно уграђивање дробљеног каменог агрегата 0-31мм на местима где није могуће машинско разастирање. Цена обухвата: набавку и транспорт материјала, ручно разастирање и планирање материјала и ваљање малим вибро ваљком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730" w:hRule="atLeast"/>
        </w:trPr>
        <w:tc>
          <w:tcPr>
            <w:tcW w:w="42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 narrow" w:hAnsi="Arial narrow"/>
                <w:i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i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i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/>
                <w:b/>
                <w:bCs/>
                <w:i/>
                <w:sz w:val="21"/>
                <w:szCs w:val="21"/>
                <w:lang w:val="sr-RS"/>
              </w:rPr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V РАДОВИ НА ОДРЖАВАЊУ УЛИЦА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9825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"/>
        <w:gridCol w:w="4009"/>
        <w:gridCol w:w="1391"/>
        <w:gridCol w:w="1672"/>
        <w:gridCol w:w="2505"/>
      </w:tblGrid>
      <w:tr>
        <w:trPr>
          <w:trHeight w:val="5295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платформи (попречних хоризонталних коловозних успоривача) у комбинацији асфалта и гуме. Гумени елементи обухватају нагазне елементе платформе x5, централне елементе х5 и крајнице. Асфалтну масу АБ-11 средишњег дела платформе нанети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емулзијом. Уграђену асфалтну масу ваљати до потребне збијености. Цена обухвата: набавку, транспорт и уградњу гумених елемената, производњу асфалтне масе са набавком материјала, транспорт асфалтне масе, механизације и радника од асфалтне базе до места уграђивања, уграђивање асфалтне масе и ваљање. Обрачун по комаду.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55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платформи (попречних хоризонталних коловозних успоривача) од асфалтне масе АБ-11. Платформу извести опсецањем ивица и израдом прстена ширине 20цм сa вађењем асфалта, утоваром и одвозом на депонију, израдом надслоја 10-12цм, димензија 9/6м (платформа 6/6м). Обележавање платформе бојом није предмет ових радова. Обрачун по комаду.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Уклањање постојећих попречних хоризонталних коловозних успоривача изграђених од асфалта. Обрачун по м².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тротоара пикамером до тампонског слоја коловозне конструкције, променљиве дебљине до 15цм , са одвозом шута на депонију. Обрачун по м².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63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Висинско регулисање постојећих шахт поклопаца и сливних решетки за фекалну и кишну канализацију у циљу изједначавања нивелете улица, коте шахта и решетки. Цена обухвата: демонтажу постојећег шахт поклопца са прстеном и сливне решетке са рамом без оштећења, правилно опсецање асфалтне или бетонске подлоге са утоваром шута и одвозом на депонију, бетонирање армираним бетоном МБ 20 до висине од 5цм у односу на асфалтну подлогу и уградња асфалтне масе истог квалитета као и постојећа. Обрачун по комаду.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4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уградња канализационих шахт поклопаца и сливних решетки са рамом. Цена обухвата: демонтажу постојећег шахт поклопца и сливне решетке са рамом, правилно опсецање асфалтне или бетонске подлоге са утоваром шута и одвозом на депонију, набавку, транспорт и уградњу шахт поклопца и сливне решетке са бетонирањем армираним бетоном МБ 20 рама. Обрачун по комаду.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шахт поклопац Ø58цм носивости до 400KN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сливна решетка дим. 40/50цм носивости до 400KN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65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Демонтажа постојећих „бехатон” плоча са транспортом на локацију по налогу инвеститора. Исте очистити и класирати за поновну уградњу. Цена обухвата: демонтажу, чишћење и класирање „бехатон” плоча са транспортом. Обрачун по м².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8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Полагање „бехатон” плоча на подлогу од дробљеног каменог агрегата са фуговањем кварцним песком. Цена обухвата: ручно уклањање постојећег вишка насутог дробљеног каменог агрегата са припремом подлоге и полагање „бехатон” плоча са фуговањем, равнањем и набијањем вибро плочом. Обрачун по м².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970" w:hRule="atLeast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9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„бехатон” плоча на подлогу од дробљеног каменог агрегата 0-31мм дебљине 4-6цм са фуговањем кварцним песком. „Бехатон” плоче морају бити облика, боје и у тону по налогу инвеститора. Цена обухвата: набавку, транспорт и разастирање материјала за припрему подлоге, набавку, транспорт и полагање „бехатон” плоча са фуговањем, равнањем и набијањем вибро плочом. Обрачун по м².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40" w:hRule="atLeast"/>
        </w:trPr>
        <w:tc>
          <w:tcPr>
            <w:tcW w:w="425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sr-RS"/>
              </w:rPr>
            </w:pPr>
            <w:r>
              <w:rPr>
                <w:rFonts w:cs="Arial"/>
                <w:color w:val="000000"/>
                <w:sz w:val="22"/>
                <w:szCs w:val="22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sr-RS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napToGrid w:val="false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</w:tc>
      </w:tr>
    </w:tbl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1441"/>
        <w:gridCol w:w="1928"/>
        <w:gridCol w:w="1516"/>
        <w:gridCol w:w="411"/>
        <w:gridCol w:w="684"/>
        <w:gridCol w:w="1560"/>
        <w:gridCol w:w="1612"/>
      </w:tblGrid>
      <w:tr>
        <w:trPr>
          <w:trHeight w:val="342" w:hRule="atLeast"/>
        </w:trPr>
        <w:tc>
          <w:tcPr>
            <w:tcW w:w="486" w:type="dxa"/>
            <w:tcBorders/>
            <w:shd w:fill="auto" w:val="clear"/>
          </w:tcPr>
          <w:p>
            <w:pPr>
              <w:pStyle w:val="Normal"/>
              <w:pageBreakBefore/>
              <w:snapToGrid w:val="false"/>
              <w:spacing w:lineRule="auto" w:line="240"/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4885" w:type="dxa"/>
            <w:gridSpan w:val="3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  <w:t>VI РАД МАШИНА</w:t>
            </w:r>
          </w:p>
        </w:tc>
        <w:tc>
          <w:tcPr>
            <w:tcW w:w="109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</w:r>
          </w:p>
        </w:tc>
        <w:tc>
          <w:tcPr>
            <w:tcW w:w="1560" w:type="dxa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</w:r>
          </w:p>
        </w:tc>
        <w:tc>
          <w:tcPr>
            <w:tcW w:w="1612" w:type="dxa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48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</w:r>
          </w:p>
        </w:tc>
        <w:tc>
          <w:tcPr>
            <w:tcW w:w="4885" w:type="dxa"/>
            <w:gridSpan w:val="3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095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61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345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Рад машина. Обрачун по радном сату (рс).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„</w:t>
            </w:r>
            <w:r>
              <w:rPr>
                <w:rFonts w:eastAsia="Times New Roman" w:cs="Arial"/>
                <w:sz w:val="22"/>
                <w:szCs w:val="22"/>
              </w:rPr>
              <w:t>wirtgen” 2.000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„</w:t>
            </w:r>
            <w:r>
              <w:rPr>
                <w:rFonts w:eastAsia="Times New Roman" w:cs="Arial"/>
                <w:sz w:val="22"/>
                <w:szCs w:val="22"/>
              </w:rPr>
              <w:t>wirtgen” 1.000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булдозер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цистерна за воду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вибро ваљак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утоваривач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комбинована машина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грејдер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багер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камион носивости до 20т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15" w:hRule="atLeast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камион носивости до 25т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405" w:hRule="atLeast"/>
        </w:trPr>
        <w:tc>
          <w:tcPr>
            <w:tcW w:w="192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  <w:t>Укупно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/>
                <w:sz w:val="22"/>
                <w:szCs w:val="22"/>
                <w:lang w:val="sr-RS"/>
              </w:rPr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3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/>
      </w:pPr>
      <w:r>
        <w:rPr>
          <w:rFonts w:eastAsia="Times New Roman" w:cs="Arial"/>
          <w:b/>
          <w:bCs/>
          <w:sz w:val="21"/>
          <w:szCs w:val="21"/>
          <w:lang w:val="sr-RS"/>
        </w:rPr>
        <w:t>НАПОМЕНА:  Предвиђена средстава за ову врсту радова износе 100.000.000,00 динара без ПДВ-а.</w:t>
      </w:r>
    </w:p>
    <w:sectPr>
      <w:footerReference w:type="default" r:id="rId2"/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imes New Roman">
    <w:charset w:val="01"/>
    <w:family w:val="swiss"/>
    <w:pitch w:val="default"/>
  </w:font>
  <w:font w:name="Calibri">
    <w:charset w:val="01"/>
    <w:family w:val="swiss"/>
    <w:pitch w:val="default"/>
  </w:font>
  <w:font w:name="Arial Narrow">
    <w:charset w:val="01"/>
    <w:family w:val="swiss"/>
    <w:pitch w:val="default"/>
  </w:font>
  <w:font w:name="Arial narrow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000202080"/>
    </w:sdtPr>
    <w:sdtContent>
      <w:p>
        <w:pPr>
          <w:pStyle w:val="Footer"/>
          <w:jc w:val="right"/>
          <w:rPr/>
        </w:pPr>
        <w:r>
          <w:rPr>
            <w:lang w:val="sr-RS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8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0e7e"/>
    <w:pPr>
      <w:widowControl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29" w:customStyle="1">
    <w:name w:val="ListLabel 29"/>
    <w:qFormat/>
    <w:rsid w:val="00de0e7e"/>
    <w:rPr>
      <w:rFonts w:cs="Courier New"/>
    </w:rPr>
  </w:style>
  <w:style w:type="character" w:styleId="ListLabel28" w:customStyle="1">
    <w:name w:val="ListLabel 28"/>
    <w:qFormat/>
    <w:rsid w:val="00de0e7e"/>
    <w:rPr>
      <w:rFonts w:cs="Courier New"/>
    </w:rPr>
  </w:style>
  <w:style w:type="character" w:styleId="ListLabel27" w:customStyle="1">
    <w:name w:val="ListLabel 27"/>
    <w:qFormat/>
    <w:rsid w:val="00de0e7e"/>
    <w:rPr>
      <w:rFonts w:cs="Courier New"/>
    </w:rPr>
  </w:style>
  <w:style w:type="character" w:styleId="ListLabel26" w:customStyle="1">
    <w:name w:val="ListLabel 26"/>
    <w:qFormat/>
    <w:rsid w:val="00de0e7e"/>
    <w:rPr>
      <w:rFonts w:eastAsia="SimSun" w:cs="Arial"/>
    </w:rPr>
  </w:style>
  <w:style w:type="character" w:styleId="ListLabel25" w:customStyle="1">
    <w:name w:val="ListLabel 25"/>
    <w:qFormat/>
    <w:rsid w:val="00de0e7e"/>
    <w:rPr>
      <w:rFonts w:cs="Courier New"/>
    </w:rPr>
  </w:style>
  <w:style w:type="character" w:styleId="ListLabel24" w:customStyle="1">
    <w:name w:val="ListLabel 24"/>
    <w:qFormat/>
    <w:rsid w:val="00de0e7e"/>
    <w:rPr>
      <w:rFonts w:cs="Courier New"/>
    </w:rPr>
  </w:style>
  <w:style w:type="character" w:styleId="ListLabel23" w:customStyle="1">
    <w:name w:val="ListLabel 23"/>
    <w:qFormat/>
    <w:rsid w:val="00de0e7e"/>
    <w:rPr>
      <w:rFonts w:cs="Courier New"/>
    </w:rPr>
  </w:style>
  <w:style w:type="character" w:styleId="ListLabel22" w:customStyle="1">
    <w:name w:val="ListLabel 22"/>
    <w:qFormat/>
    <w:rsid w:val="00de0e7e"/>
    <w:rPr>
      <w:rFonts w:ascii="Arial" w:hAnsi="Arial" w:eastAsia="Calibri" w:cs="Arial"/>
      <w:sz w:val="24"/>
    </w:rPr>
  </w:style>
  <w:style w:type="character" w:styleId="ListLabel21" w:customStyle="1">
    <w:name w:val="ListLabel 21"/>
    <w:qFormat/>
    <w:rsid w:val="00de0e7e"/>
    <w:rPr>
      <w:rFonts w:cs="Courier New"/>
    </w:rPr>
  </w:style>
  <w:style w:type="character" w:styleId="ListLabel20" w:customStyle="1">
    <w:name w:val="ListLabel 20"/>
    <w:qFormat/>
    <w:rsid w:val="00de0e7e"/>
    <w:rPr>
      <w:rFonts w:cs="Courier New"/>
    </w:rPr>
  </w:style>
  <w:style w:type="character" w:styleId="ListLabel19" w:customStyle="1">
    <w:name w:val="ListLabel 19"/>
    <w:qFormat/>
    <w:rsid w:val="00de0e7e"/>
    <w:rPr>
      <w:rFonts w:cs="Courier New"/>
    </w:rPr>
  </w:style>
  <w:style w:type="character" w:styleId="ListLabel18" w:customStyle="1">
    <w:name w:val="ListLabel 18"/>
    <w:qFormat/>
    <w:rsid w:val="00de0e7e"/>
    <w:rPr>
      <w:rFonts w:cs="Courier New"/>
    </w:rPr>
  </w:style>
  <w:style w:type="character" w:styleId="ListLabel17" w:customStyle="1">
    <w:name w:val="ListLabel 17"/>
    <w:qFormat/>
    <w:rsid w:val="00de0e7e"/>
    <w:rPr>
      <w:rFonts w:cs="Courier New"/>
    </w:rPr>
  </w:style>
  <w:style w:type="character" w:styleId="ListLabel16" w:customStyle="1">
    <w:name w:val="ListLabel 16"/>
    <w:qFormat/>
    <w:rsid w:val="00de0e7e"/>
    <w:rPr>
      <w:rFonts w:cs="Courier New"/>
    </w:rPr>
  </w:style>
  <w:style w:type="character" w:styleId="ListLabel15" w:customStyle="1">
    <w:name w:val="ListLabel 15"/>
    <w:qFormat/>
    <w:rsid w:val="00de0e7e"/>
    <w:rPr>
      <w:rFonts w:cs="Courier New"/>
    </w:rPr>
  </w:style>
  <w:style w:type="character" w:styleId="ListLabel14" w:customStyle="1">
    <w:name w:val="ListLabel 14"/>
    <w:qFormat/>
    <w:rsid w:val="00de0e7e"/>
    <w:rPr>
      <w:rFonts w:cs="Courier New"/>
    </w:rPr>
  </w:style>
  <w:style w:type="character" w:styleId="ListLabel13" w:customStyle="1">
    <w:name w:val="ListLabel 13"/>
    <w:qFormat/>
    <w:rsid w:val="00de0e7e"/>
    <w:rPr>
      <w:rFonts w:cs="Courier New"/>
    </w:rPr>
  </w:style>
  <w:style w:type="character" w:styleId="ListLabel12" w:customStyle="1">
    <w:name w:val="ListLabel 12"/>
    <w:qFormat/>
    <w:rsid w:val="00de0e7e"/>
    <w:rPr>
      <w:rFonts w:eastAsia="Calibri" w:cs="Arial"/>
    </w:rPr>
  </w:style>
  <w:style w:type="character" w:styleId="ListLabel11" w:customStyle="1">
    <w:name w:val="ListLabel 11"/>
    <w:qFormat/>
    <w:rsid w:val="00de0e7e"/>
    <w:rPr>
      <w:rFonts w:cs="Courier New"/>
    </w:rPr>
  </w:style>
  <w:style w:type="character" w:styleId="ListLabel10" w:customStyle="1">
    <w:name w:val="ListLabel 10"/>
    <w:qFormat/>
    <w:rsid w:val="00de0e7e"/>
    <w:rPr>
      <w:rFonts w:cs="Courier New"/>
    </w:rPr>
  </w:style>
  <w:style w:type="character" w:styleId="ListLabel9" w:customStyle="1">
    <w:name w:val="ListLabel 9"/>
    <w:qFormat/>
    <w:rsid w:val="00de0e7e"/>
    <w:rPr>
      <w:rFonts w:cs="Courier New"/>
    </w:rPr>
  </w:style>
  <w:style w:type="character" w:styleId="ListLabel8" w:customStyle="1">
    <w:name w:val="ListLabel 8"/>
    <w:qFormat/>
    <w:rsid w:val="00de0e7e"/>
    <w:rPr>
      <w:rFonts w:eastAsia="Calibri" w:cs="Arial"/>
    </w:rPr>
  </w:style>
  <w:style w:type="character" w:styleId="ListLabel7" w:customStyle="1">
    <w:name w:val="ListLabel 7"/>
    <w:qFormat/>
    <w:rsid w:val="00de0e7e"/>
    <w:rPr>
      <w:rFonts w:cs="Courier New"/>
    </w:rPr>
  </w:style>
  <w:style w:type="character" w:styleId="ListLabel6" w:customStyle="1">
    <w:name w:val="ListLabel 6"/>
    <w:qFormat/>
    <w:rsid w:val="00de0e7e"/>
    <w:rPr>
      <w:rFonts w:cs="Courier New"/>
    </w:rPr>
  </w:style>
  <w:style w:type="character" w:styleId="ListLabel5" w:customStyle="1">
    <w:name w:val="ListLabel 5"/>
    <w:qFormat/>
    <w:rsid w:val="00de0e7e"/>
    <w:rPr>
      <w:rFonts w:cs="Courier New"/>
    </w:rPr>
  </w:style>
  <w:style w:type="character" w:styleId="ListLabel4" w:customStyle="1">
    <w:name w:val="ListLabel 4"/>
    <w:qFormat/>
    <w:rsid w:val="00de0e7e"/>
    <w:rPr>
      <w:rFonts w:eastAsia="Calibri" w:cs="Arial"/>
    </w:rPr>
  </w:style>
  <w:style w:type="character" w:styleId="ListLabel3" w:customStyle="1">
    <w:name w:val="ListLabel 3"/>
    <w:qFormat/>
    <w:rsid w:val="00de0e7e"/>
    <w:rPr>
      <w:rFonts w:cs="Courier New"/>
    </w:rPr>
  </w:style>
  <w:style w:type="character" w:styleId="ListLabel2" w:customStyle="1">
    <w:name w:val="ListLabel 2"/>
    <w:qFormat/>
    <w:rsid w:val="00de0e7e"/>
    <w:rPr>
      <w:rFonts w:cs="Courier New"/>
    </w:rPr>
  </w:style>
  <w:style w:type="character" w:styleId="ListLabel1" w:customStyle="1">
    <w:name w:val="ListLabel 1"/>
    <w:qFormat/>
    <w:rsid w:val="00de0e7e"/>
    <w:rPr>
      <w:rFonts w:cs="Courier New"/>
    </w:rPr>
  </w:style>
  <w:style w:type="character" w:styleId="BalloonTextChar" w:customStyle="1">
    <w:name w:val="Balloon Text Char"/>
    <w:basedOn w:val="DefaultParagraphFont"/>
    <w:qFormat/>
    <w:rsid w:val="00de0e7e"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qFormat/>
    <w:rsid w:val="00de0e7e"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qFormat/>
    <w:rsid w:val="00de0e7e"/>
    <w:rPr>
      <w:sz w:val="20"/>
      <w:szCs w:val="20"/>
    </w:rPr>
  </w:style>
  <w:style w:type="character" w:styleId="Annotationreference">
    <w:name w:val="annotation reference"/>
    <w:basedOn w:val="DefaultParagraphFont"/>
    <w:qFormat/>
    <w:rsid w:val="00de0e7e"/>
    <w:rPr>
      <w:sz w:val="16"/>
      <w:szCs w:val="16"/>
    </w:rPr>
  </w:style>
  <w:style w:type="character" w:styleId="Tlidtranslation" w:customStyle="1">
    <w:name w:val="tlid-translation"/>
    <w:basedOn w:val="DefaultParagraphFont"/>
    <w:qFormat/>
    <w:rsid w:val="00de0e7e"/>
    <w:rPr/>
  </w:style>
  <w:style w:type="character" w:styleId="ListLabel30" w:customStyle="1">
    <w:name w:val="ListLabel 30"/>
    <w:qFormat/>
    <w:rsid w:val="00de0e7e"/>
    <w:rPr>
      <w:rFonts w:cs="Arial"/>
      <w:sz w:val="24"/>
    </w:rPr>
  </w:style>
  <w:style w:type="character" w:styleId="ListLabel31" w:customStyle="1">
    <w:name w:val="ListLabel 31"/>
    <w:qFormat/>
    <w:rsid w:val="00de0e7e"/>
    <w:rPr>
      <w:rFonts w:cs="Courier New"/>
    </w:rPr>
  </w:style>
  <w:style w:type="character" w:styleId="ListLabel32" w:customStyle="1">
    <w:name w:val="ListLabel 32"/>
    <w:qFormat/>
    <w:rsid w:val="00de0e7e"/>
    <w:rPr>
      <w:rFonts w:cs="Wingdings"/>
    </w:rPr>
  </w:style>
  <w:style w:type="character" w:styleId="ListLabel33" w:customStyle="1">
    <w:name w:val="ListLabel 33"/>
    <w:qFormat/>
    <w:rsid w:val="00de0e7e"/>
    <w:rPr>
      <w:rFonts w:cs="Symbol"/>
    </w:rPr>
  </w:style>
  <w:style w:type="character" w:styleId="ListLabel34" w:customStyle="1">
    <w:name w:val="ListLabel 34"/>
    <w:qFormat/>
    <w:rsid w:val="00de0e7e"/>
    <w:rPr>
      <w:rFonts w:cs="Courier New"/>
    </w:rPr>
  </w:style>
  <w:style w:type="character" w:styleId="ListLabel35" w:customStyle="1">
    <w:name w:val="ListLabel 35"/>
    <w:qFormat/>
    <w:rsid w:val="00de0e7e"/>
    <w:rPr>
      <w:rFonts w:cs="Wingdings"/>
    </w:rPr>
  </w:style>
  <w:style w:type="character" w:styleId="ListLabel36" w:customStyle="1">
    <w:name w:val="ListLabel 36"/>
    <w:qFormat/>
    <w:rsid w:val="00de0e7e"/>
    <w:rPr>
      <w:rFonts w:cs="Symbol"/>
    </w:rPr>
  </w:style>
  <w:style w:type="character" w:styleId="ListLabel37" w:customStyle="1">
    <w:name w:val="ListLabel 37"/>
    <w:qFormat/>
    <w:rsid w:val="00de0e7e"/>
    <w:rPr>
      <w:rFonts w:cs="Courier New"/>
    </w:rPr>
  </w:style>
  <w:style w:type="character" w:styleId="ListLabel38" w:customStyle="1">
    <w:name w:val="ListLabel 38"/>
    <w:qFormat/>
    <w:rsid w:val="00de0e7e"/>
    <w:rPr>
      <w:rFonts w:cs="Wingdings"/>
    </w:rPr>
  </w:style>
  <w:style w:type="character" w:styleId="ListLabel39" w:customStyle="1">
    <w:name w:val="ListLabel 39"/>
    <w:qFormat/>
    <w:rsid w:val="00de0e7e"/>
    <w:rPr>
      <w:rFonts w:cs="Arial"/>
      <w:sz w:val="24"/>
    </w:rPr>
  </w:style>
  <w:style w:type="character" w:styleId="ListLabel40" w:customStyle="1">
    <w:name w:val="ListLabel 40"/>
    <w:qFormat/>
    <w:rsid w:val="00de0e7e"/>
    <w:rPr>
      <w:rFonts w:cs="Courier New"/>
    </w:rPr>
  </w:style>
  <w:style w:type="character" w:styleId="ListLabel41" w:customStyle="1">
    <w:name w:val="ListLabel 41"/>
    <w:qFormat/>
    <w:rsid w:val="00de0e7e"/>
    <w:rPr>
      <w:rFonts w:cs="Wingdings"/>
    </w:rPr>
  </w:style>
  <w:style w:type="character" w:styleId="ListLabel42" w:customStyle="1">
    <w:name w:val="ListLabel 42"/>
    <w:qFormat/>
    <w:rsid w:val="00de0e7e"/>
    <w:rPr>
      <w:rFonts w:cs="Symbol"/>
    </w:rPr>
  </w:style>
  <w:style w:type="character" w:styleId="ListLabel43" w:customStyle="1">
    <w:name w:val="ListLabel 43"/>
    <w:qFormat/>
    <w:rsid w:val="00de0e7e"/>
    <w:rPr>
      <w:rFonts w:cs="Courier New"/>
    </w:rPr>
  </w:style>
  <w:style w:type="character" w:styleId="ListLabel44" w:customStyle="1">
    <w:name w:val="ListLabel 44"/>
    <w:qFormat/>
    <w:rsid w:val="00de0e7e"/>
    <w:rPr>
      <w:rFonts w:cs="Wingdings"/>
    </w:rPr>
  </w:style>
  <w:style w:type="character" w:styleId="ListLabel45" w:customStyle="1">
    <w:name w:val="ListLabel 45"/>
    <w:qFormat/>
    <w:rsid w:val="00de0e7e"/>
    <w:rPr>
      <w:rFonts w:cs="Symbol"/>
    </w:rPr>
  </w:style>
  <w:style w:type="character" w:styleId="ListLabel46" w:customStyle="1">
    <w:name w:val="ListLabel 46"/>
    <w:qFormat/>
    <w:rsid w:val="00de0e7e"/>
    <w:rPr>
      <w:rFonts w:cs="Courier New"/>
    </w:rPr>
  </w:style>
  <w:style w:type="character" w:styleId="ListLabel47" w:customStyle="1">
    <w:name w:val="ListLabel 47"/>
    <w:qFormat/>
    <w:rsid w:val="00de0e7e"/>
    <w:rPr>
      <w:rFonts w:cs="Wingdings"/>
    </w:rPr>
  </w:style>
  <w:style w:type="character" w:styleId="Bullets" w:customStyle="1">
    <w:name w:val="Bullets"/>
    <w:qFormat/>
    <w:rsid w:val="00de0e7e"/>
    <w:rPr>
      <w:rFonts w:ascii="OpenSymbol" w:hAnsi="OpenSymbol" w:eastAsia="OpenSymbol" w:cs="OpenSymbol"/>
    </w:rPr>
  </w:style>
  <w:style w:type="character" w:styleId="ListLabel48" w:customStyle="1">
    <w:name w:val="ListLabel 48"/>
    <w:qFormat/>
    <w:rPr>
      <w:rFonts w:cs="OpenSymbol"/>
      <w:sz w:val="22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rFonts w:cs="OpenSymbol"/>
    </w:rPr>
  </w:style>
  <w:style w:type="character" w:styleId="ListLabel53" w:customStyle="1">
    <w:name w:val="ListLabel 53"/>
    <w:qFormat/>
    <w:rPr>
      <w:rFonts w:cs="OpenSymbol"/>
    </w:rPr>
  </w:style>
  <w:style w:type="character" w:styleId="ListLabel54" w:customStyle="1">
    <w:name w:val="ListLabel 54"/>
    <w:qFormat/>
    <w:rPr>
      <w:rFonts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 w:customStyle="1">
    <w:name w:val="ListLabel 56"/>
    <w:qFormat/>
    <w:rPr>
      <w:rFonts w:cs="OpenSymbol"/>
    </w:rPr>
  </w:style>
  <w:style w:type="character" w:styleId="ListLabel57" w:customStyle="1">
    <w:name w:val="ListLabel 57"/>
    <w:qFormat/>
    <w:rPr>
      <w:rFonts w:eastAsia="Times New Roman" w:cs="Times New Roman"/>
      <w:spacing w:val="-10"/>
      <w:w w:val="99"/>
      <w:sz w:val="24"/>
      <w:szCs w:val="24"/>
      <w:lang w:eastAsia="en-US" w:bidi="ar-SA"/>
    </w:rPr>
  </w:style>
  <w:style w:type="character" w:styleId="ListLabel58" w:customStyle="1">
    <w:name w:val="ListLabel 58"/>
    <w:qFormat/>
    <w:rPr>
      <w:lang w:eastAsia="en-US" w:bidi="ar-SA"/>
    </w:rPr>
  </w:style>
  <w:style w:type="character" w:styleId="ListLabel59" w:customStyle="1">
    <w:name w:val="ListLabel 59"/>
    <w:qFormat/>
    <w:rPr>
      <w:lang w:eastAsia="en-US" w:bidi="ar-SA"/>
    </w:rPr>
  </w:style>
  <w:style w:type="character" w:styleId="ListLabel60" w:customStyle="1">
    <w:name w:val="ListLabel 60"/>
    <w:qFormat/>
    <w:rPr>
      <w:lang w:eastAsia="en-US" w:bidi="ar-SA"/>
    </w:rPr>
  </w:style>
  <w:style w:type="character" w:styleId="ListLabel61" w:customStyle="1">
    <w:name w:val="ListLabel 61"/>
    <w:qFormat/>
    <w:rPr>
      <w:lang w:eastAsia="en-US" w:bidi="ar-SA"/>
    </w:rPr>
  </w:style>
  <w:style w:type="character" w:styleId="ListLabel62" w:customStyle="1">
    <w:name w:val="ListLabel 62"/>
    <w:qFormat/>
    <w:rPr>
      <w:lang w:eastAsia="en-US" w:bidi="ar-SA"/>
    </w:rPr>
  </w:style>
  <w:style w:type="character" w:styleId="ListLabel63" w:customStyle="1">
    <w:name w:val="ListLabel 63"/>
    <w:qFormat/>
    <w:rPr>
      <w:lang w:eastAsia="en-US" w:bidi="ar-SA"/>
    </w:rPr>
  </w:style>
  <w:style w:type="character" w:styleId="ListLabel64" w:customStyle="1">
    <w:name w:val="ListLabel 64"/>
    <w:qFormat/>
    <w:rPr>
      <w:lang w:eastAsia="en-US" w:bidi="ar-SA"/>
    </w:rPr>
  </w:style>
  <w:style w:type="character" w:styleId="ListLabel65" w:customStyle="1">
    <w:name w:val="ListLabel 65"/>
    <w:qFormat/>
    <w:rPr>
      <w:lang w:eastAsia="en-US" w:bidi="ar-SA"/>
    </w:rPr>
  </w:style>
  <w:style w:type="character" w:styleId="ListLabel66" w:customStyle="1">
    <w:name w:val="ListLabel 66"/>
    <w:qFormat/>
    <w:rPr>
      <w:rFonts w:cs="OpenSymbol"/>
      <w:sz w:val="22"/>
    </w:rPr>
  </w:style>
  <w:style w:type="character" w:styleId="ListLabel67" w:customStyle="1">
    <w:name w:val="ListLabel 67"/>
    <w:qFormat/>
    <w:rPr>
      <w:rFonts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cs="OpenSymbol"/>
    </w:rPr>
  </w:style>
  <w:style w:type="character" w:styleId="ListLabel70" w:customStyle="1">
    <w:name w:val="ListLabel 70"/>
    <w:qFormat/>
    <w:rPr>
      <w:rFonts w:cs="OpenSymbol"/>
    </w:rPr>
  </w:style>
  <w:style w:type="character" w:styleId="ListLabel71" w:customStyle="1">
    <w:name w:val="ListLabel 71"/>
    <w:qFormat/>
    <w:rPr>
      <w:rFonts w:cs="OpenSymbol"/>
    </w:rPr>
  </w:style>
  <w:style w:type="character" w:styleId="ListLabel72" w:customStyle="1">
    <w:name w:val="ListLabel 72"/>
    <w:qFormat/>
    <w:rPr>
      <w:rFonts w:cs="OpenSymbol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482722"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482722"/>
    <w:rPr>
      <w:sz w:val="24"/>
      <w:szCs w:val="21"/>
    </w:rPr>
  </w:style>
  <w:style w:type="character" w:styleId="ListLabel75">
    <w:name w:val="ListLabel 75"/>
    <w:qFormat/>
    <w:rPr>
      <w:rFonts w:cs="OpenSymbol"/>
      <w:sz w:val="22"/>
    </w:rPr>
  </w:style>
  <w:style w:type="character" w:styleId="ListLabel76">
    <w:name w:val="ListLabel 76"/>
    <w:qFormat/>
    <w:rPr>
      <w:rFonts w:cs="OpenSymbol"/>
      <w:sz w:val="22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Arial"/>
      <w:sz w:val="22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Arial"/>
    </w:rPr>
  </w:style>
  <w:style w:type="character" w:styleId="ListLabel89">
    <w:name w:val="ListLabel 89"/>
    <w:qFormat/>
    <w:rPr>
      <w:rFonts w:cs="Arial"/>
    </w:rPr>
  </w:style>
  <w:style w:type="character" w:styleId="ListLabel90">
    <w:name w:val="ListLabel 90"/>
    <w:qFormat/>
    <w:rPr>
      <w:rFonts w:cs="Arial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OpenSymbol"/>
      <w:sz w:val="22"/>
    </w:rPr>
  </w:style>
  <w:style w:type="character" w:styleId="ListLabel95">
    <w:name w:val="ListLabel 95"/>
    <w:qFormat/>
    <w:rPr>
      <w:rFonts w:cs="OpenSymbol"/>
      <w:sz w:val="22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OpenSymbol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OpenSymbol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Arial"/>
      <w:sz w:val="22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OpenSymbol"/>
      <w:sz w:val="22"/>
    </w:rPr>
  </w:style>
  <w:style w:type="character" w:styleId="ListLabel113">
    <w:name w:val="ListLabel 113"/>
    <w:qFormat/>
    <w:rPr>
      <w:rFonts w:cs="OpenSymbol"/>
      <w:sz w:val="22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Arial"/>
      <w:sz w:val="22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paragraph" w:styleId="Heading" w:customStyle="1">
    <w:name w:val="Heading"/>
    <w:basedOn w:val="Normal"/>
    <w:next w:val="TextBody"/>
    <w:qFormat/>
    <w:rsid w:val="00de0e7e"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rsid w:val="00de0e7e"/>
    <w:pPr>
      <w:spacing w:lineRule="auto" w:line="276" w:before="0" w:after="140"/>
    </w:pPr>
    <w:rPr/>
  </w:style>
  <w:style w:type="paragraph" w:styleId="List">
    <w:name w:val="List"/>
    <w:basedOn w:val="TextBody"/>
    <w:rsid w:val="00de0e7e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 w:customStyle="1">
    <w:name w:val="Index"/>
    <w:basedOn w:val="Normal"/>
    <w:qFormat/>
    <w:rsid w:val="00de0e7e"/>
    <w:pPr>
      <w:suppressLineNumbers/>
    </w:pPr>
    <w:rPr/>
  </w:style>
  <w:style w:type="paragraph" w:styleId="Caption1">
    <w:name w:val="caption"/>
    <w:basedOn w:val="Normal"/>
    <w:qFormat/>
    <w:rsid w:val="00de0e7e"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rsid w:val="00de0e7e"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qFormat/>
    <w:rsid w:val="00de0e7e"/>
    <w:pPr/>
    <w:rPr>
      <w:b/>
      <w:bCs/>
    </w:rPr>
  </w:style>
  <w:style w:type="paragraph" w:styleId="Annotationtext">
    <w:name w:val="annotation text"/>
    <w:basedOn w:val="Normal"/>
    <w:qFormat/>
    <w:rsid w:val="00de0e7e"/>
    <w:pPr/>
    <w:rPr>
      <w:sz w:val="20"/>
      <w:szCs w:val="20"/>
    </w:rPr>
  </w:style>
  <w:style w:type="paragraph" w:styleId="Default" w:customStyle="1">
    <w:name w:val="Default"/>
    <w:qFormat/>
    <w:rsid w:val="00de0e7e"/>
    <w:pPr>
      <w:widowControl/>
      <w:suppressAutoHyphens w:val="true"/>
      <w:bidi w:val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rsid w:val="00de0e7e"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qFormat/>
    <w:rsid w:val="00de0e7e"/>
    <w:pPr>
      <w:suppressLineNumbers/>
    </w:pPr>
    <w:rPr/>
  </w:style>
  <w:style w:type="paragraph" w:styleId="TableHeading" w:customStyle="1">
    <w:name w:val="Table Heading"/>
    <w:basedOn w:val="TableContents"/>
    <w:qFormat/>
    <w:rsid w:val="00de0e7e"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d119bc"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82722"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482722"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Application>LibreOffice/6.2.8.2$Windows_X86_64 LibreOffice_project/f82ddfca21ebc1e222a662a32b25c0c9d20169ee</Application>
  <Pages>11</Pages>
  <Words>2207</Words>
  <Characters>12232</Characters>
  <CharactersWithSpaces>14130</CharactersWithSpaces>
  <Paragraphs>201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/>
  <dc:description/>
  <dc:language>en-US</dc:language>
  <cp:lastModifiedBy/>
  <dcterms:modified xsi:type="dcterms:W3CDTF">2020-10-27T11:12:24Z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